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6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Уг</w:t>
      </w:r>
      <w:r w:rsidDel="00000000" w:rsidR="00000000" w:rsidRPr="00000000">
        <w:rPr>
          <w:sz w:val="24"/>
          <w:szCs w:val="24"/>
          <w:rtl w:val="0"/>
        </w:rPr>
        <w:t xml:space="preserve">оловный Кодекс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Основные положения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Настоящий Кодекс основывается на Конституции Вавилона и общепризнанных принципах и нормах международного права.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Преступность деяния, а также его наказуемость и иные уголовно-правовые последствия определяются только настоящим Кодексом и решением Оракула.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Применение уголовного закона по аналогии не допускается.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Граждане, совершившие преступления, равны перед законом и подлежат уголовной ответственности независимо от пола, расы,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Основанием уголовной ответственности является совершение деяния, содержащего все признаки состава преступления, предусмотренного настоящим Кодексом.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Преступление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Преступлением признается совершенное общественно опасное деяние, запрещенное настоящим Кодексом под угрозой наказания.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Не является преступлением действие (бездействие), хотя формально и содержащее признаки какого-либо деяния, предусмотренного настоящим Кодексом, но в силу малозначительности не представляющее общественной опасности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Процессуальные уголовные вопросы. 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before="120" w:line="316.1454545454546" w:lineRule="auto"/>
        <w:ind w:left="1440" w:hanging="360"/>
        <w:jc w:val="both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Орган дознания вправе задержать лицо по подозрению в совершении преступления, за которое может быть назначено наказание в виде лишения свободы, при наличии одного из следующих оснований: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before="120" w:line="316.1454545454546" w:lineRule="auto"/>
        <w:ind w:left="2160" w:hanging="360"/>
        <w:jc w:val="both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когда это лицо застигнуто при совершении преступления или непосредственно после его совершения;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before="120" w:line="316.1454545454546" w:lineRule="auto"/>
        <w:ind w:left="2160" w:hanging="360"/>
        <w:jc w:val="both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когда потерпевшие или очевидцы укажут на данное лицо как на совершившее преступление;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before="120" w:line="316.1454545454546" w:lineRule="auto"/>
        <w:ind w:left="2160" w:hanging="360"/>
        <w:jc w:val="both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когда на этом лице или его одежде, при нем или в его жилище будут обнаружены явные следы преступления.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before="120" w:line="316.1454545454546" w:lineRule="auto"/>
        <w:ind w:left="2160" w:hanging="360"/>
        <w:jc w:val="both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При наличии иных данных, дающих основание подозревать лицо в совершении преступления, оно может быть задержано, если это лицо пыталось скрыться, либо не имеет постоянного места жительства, либо не установлена его личность, либо если следователем с согласия руководителя следственного органа или дознавателем с согласия прокурора в суд направлено ходатайство об избрании в отношении указанного лица меры пресечения в виде заключения под стражу.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Подозреваемый может быть подвергнут личному обыску или обыску жилища.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before="120" w:line="316.1454545454546" w:lineRule="auto"/>
        <w:ind w:left="1440" w:hanging="360"/>
        <w:jc w:val="both"/>
        <w:rPr>
          <w:color w:val="333333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Подозреваемый подлежит освобождению по постановлению дознавателя или следователя, если не подтвердилось подозрение в совершении преступления;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360" w:lineRule="auto"/>
        <w:ind w:left="1440" w:hanging="360"/>
        <w:rPr>
          <w:color w:val="333333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По истечении условленного времени (получаса) с момента задержания подозреваемый подлежит освобождению, если он не представляет угрозы обществу. Продление задержания, ареста возможно с разрешения Оракула.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Убийство, то есть умышленное причинение смерти другому лицу. Карается лишением гражданства, лишением свободы. В случаях особой жестокости преступления и по усмотрению Оракула карается смертной казнью.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Причинение физического вреда или увечья. Карается уплатой компенсации пострадавшему.В случаях особой жестокости преступления и по усмотрению Оракула карается лишением гражданства.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Похищение гражданина. Карается лишением гражданства, лишением свободы.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Незаконное лишение гражданина свободы, не связанное с его похищением карается тюремным заключением и уплатой компенсации пострадавшему.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Клевета, то есть распространение заведомо ложных сведений, порочащих честь и достоинство другого лица или подрывающих его репутацию, наказывается компенсацией , выплачиваемой в пользу пострадавшего лица.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ind w:left="144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Злостное и постоянное распространение заведомо ложных сведений организацией, предоставляющей информационные услуги, карается ограничением деятельности органа, вплоть до ликвидации организации.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Кража, то есть тайное хищение чужого имущества, карается уплатой компенсации пострадавшему, тюремным заключением. Управлению общей охраны следует действовать с целью возвращения украденного.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Грабеж, то есть открытые хищение чужого имущества с использованием силы, карается уплатой компенсации пострадавшему, тюремным заключением. Управлению общей охраны следует действовать с целью возвращения украденного. Если грабеж был совершен с причинением физического увечья, то вплоть до лишения гражданства.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rPr>
          <w:color w:val="464c55"/>
          <w:sz w:val="24"/>
          <w:szCs w:val="24"/>
          <w:highlight w:val="white"/>
        </w:rPr>
      </w:pPr>
      <w:r w:rsidDel="00000000" w:rsidR="00000000" w:rsidRPr="00000000">
        <w:rPr>
          <w:color w:val="464c55"/>
          <w:sz w:val="24"/>
          <w:szCs w:val="24"/>
          <w:highlight w:val="white"/>
          <w:rtl w:val="0"/>
        </w:rPr>
        <w:t xml:space="preserve">Контрабанда. Незаконное перемещение через таможенную границу Вавилона опасных лекарственных препаратов, имплантов, угрожающих свободе личности, огнестрельного и иного запрещенного оружия. Карается штрафами в установленном Оракулом размере, лишением гражданства, депортацией с Вавилона.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