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pacing w:after="160" w:line="360" w:lineRule="auto"/>
        <w:ind w:firstLine="540"/>
        <w:contextualSpacing w:val="0"/>
        <w:jc w:val="center"/>
        <w:rPr>
          <w:b w:val="1"/>
          <w:color w:val="333333"/>
          <w:sz w:val="32"/>
          <w:szCs w:val="32"/>
          <w:highlight w:val="white"/>
          <w:u w:val="single"/>
        </w:rPr>
      </w:pPr>
      <w:r w:rsidDel="00000000" w:rsidR="00000000" w:rsidRPr="00000000">
        <w:rPr>
          <w:b w:val="1"/>
          <w:color w:val="333333"/>
          <w:sz w:val="32"/>
          <w:szCs w:val="32"/>
          <w:highlight w:val="white"/>
          <w:u w:val="single"/>
          <w:rtl w:val="0"/>
        </w:rPr>
        <w:t xml:space="preserve">Гражданский Кодекс</w:t>
      </w:r>
    </w:p>
    <w:p w:rsidR="00000000" w:rsidDel="00000000" w:rsidP="00000000" w:rsidRDefault="00000000" w:rsidRPr="00000000" w14:paraId="00000001">
      <w:pPr>
        <w:numPr>
          <w:ilvl w:val="0"/>
          <w:numId w:val="1"/>
        </w:numPr>
        <w:pBdr>
          <w:top w:color="auto" w:space="0" w:sz="0" w:val="none"/>
          <w:left w:color="auto" w:space="0" w:sz="0" w:val="none"/>
          <w:bottom w:color="auto" w:space="0" w:sz="0" w:val="none"/>
          <w:right w:color="auto" w:space="0" w:sz="0" w:val="none"/>
          <w:between w:color="auto" w:space="0" w:sz="0" w:val="none"/>
        </w:pBdr>
        <w:spacing w:after="160" w:line="360" w:lineRule="auto"/>
        <w:ind w:left="720" w:hanging="360"/>
        <w:contextualSpacing w:val="1"/>
        <w:jc w:val="both"/>
        <w:rPr>
          <w:b w:val="1"/>
          <w:color w:val="333333"/>
          <w:sz w:val="24"/>
          <w:szCs w:val="24"/>
          <w:highlight w:val="white"/>
        </w:rPr>
      </w:pPr>
      <w:r w:rsidDel="00000000" w:rsidR="00000000" w:rsidRPr="00000000">
        <w:rPr>
          <w:b w:val="1"/>
          <w:color w:val="333333"/>
          <w:sz w:val="24"/>
          <w:szCs w:val="24"/>
          <w:highlight w:val="white"/>
          <w:rtl w:val="0"/>
        </w:rPr>
        <w:t xml:space="preserve">Основные начала гражданского законодательства</w:t>
      </w:r>
    </w:p>
    <w:p w:rsidR="00000000" w:rsidDel="00000000" w:rsidP="00000000" w:rsidRDefault="00000000" w:rsidRPr="00000000" w14:paraId="00000002">
      <w:pPr>
        <w:numPr>
          <w:ilvl w:val="1"/>
          <w:numId w:val="1"/>
        </w:numPr>
        <w:pBdr>
          <w:top w:color="auto" w:space="0" w:sz="0" w:val="none"/>
          <w:left w:color="auto" w:space="0" w:sz="0" w:val="none"/>
          <w:bottom w:color="auto" w:space="0" w:sz="0" w:val="none"/>
          <w:right w:color="auto" w:space="0" w:sz="0" w:val="none"/>
          <w:between w:color="auto" w:space="0" w:sz="0" w:val="none"/>
        </w:pBdr>
        <w:spacing w:after="160" w:line="360" w:lineRule="auto"/>
        <w:ind w:left="1440" w:hanging="360"/>
        <w:contextualSpacing w:val="1"/>
        <w:jc w:val="both"/>
        <w:rPr>
          <w:color w:val="333333"/>
          <w:sz w:val="24"/>
          <w:szCs w:val="24"/>
          <w:highlight w:val="white"/>
        </w:rPr>
      </w:pPr>
      <w:r w:rsidDel="00000000" w:rsidR="00000000" w:rsidRPr="00000000">
        <w:rPr>
          <w:color w:val="333333"/>
          <w:sz w:val="24"/>
          <w:szCs w:val="24"/>
          <w:highlight w:val="white"/>
          <w:rtl w:val="0"/>
        </w:rPr>
        <w:t xml:space="preserve">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000000" w:rsidDel="00000000" w:rsidP="00000000" w:rsidRDefault="00000000" w:rsidRPr="00000000" w14:paraId="00000003">
      <w:pPr>
        <w:numPr>
          <w:ilvl w:val="1"/>
          <w:numId w:val="1"/>
        </w:numPr>
        <w:pBdr>
          <w:top w:color="auto" w:space="0" w:sz="0" w:val="none"/>
          <w:left w:color="auto" w:space="0" w:sz="0" w:val="none"/>
          <w:bottom w:color="auto" w:space="0" w:sz="0" w:val="none"/>
          <w:right w:color="auto" w:space="0" w:sz="0" w:val="none"/>
          <w:between w:color="auto" w:space="0" w:sz="0" w:val="none"/>
        </w:pBdr>
        <w:spacing w:after="160" w:line="360" w:lineRule="auto"/>
        <w:ind w:left="1440" w:hanging="360"/>
        <w:contextualSpacing w:val="1"/>
        <w:jc w:val="both"/>
        <w:rPr>
          <w:color w:val="333333"/>
          <w:sz w:val="24"/>
          <w:szCs w:val="24"/>
          <w:highlight w:val="white"/>
        </w:rPr>
      </w:pPr>
      <w:r w:rsidDel="00000000" w:rsidR="00000000" w:rsidRPr="00000000">
        <w:rPr>
          <w:color w:val="333333"/>
          <w:sz w:val="24"/>
          <w:szCs w:val="24"/>
          <w:highlight w:val="white"/>
          <w:rtl w:val="0"/>
        </w:rPr>
        <w:t xml:space="preserve">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000000" w:rsidDel="00000000" w:rsidP="00000000" w:rsidRDefault="00000000" w:rsidRPr="00000000" w14:paraId="00000004">
      <w:pPr>
        <w:numPr>
          <w:ilvl w:val="1"/>
          <w:numId w:val="1"/>
        </w:numPr>
        <w:pBdr>
          <w:top w:color="auto" w:space="0" w:sz="0" w:val="none"/>
          <w:left w:color="auto" w:space="0" w:sz="0" w:val="none"/>
          <w:bottom w:color="auto" w:space="0" w:sz="0" w:val="none"/>
          <w:right w:color="auto" w:space="0" w:sz="0" w:val="none"/>
          <w:between w:color="auto" w:space="0" w:sz="0" w:val="none"/>
        </w:pBdr>
        <w:spacing w:after="160" w:line="360" w:lineRule="auto"/>
        <w:ind w:left="1440" w:hanging="360"/>
        <w:contextualSpacing w:val="1"/>
        <w:jc w:val="both"/>
        <w:rPr>
          <w:color w:val="333333"/>
          <w:sz w:val="24"/>
          <w:szCs w:val="24"/>
          <w:highlight w:val="white"/>
        </w:rPr>
      </w:pPr>
      <w:r w:rsidDel="00000000" w:rsidR="00000000" w:rsidRPr="00000000">
        <w:rPr>
          <w:color w:val="333333"/>
          <w:sz w:val="24"/>
          <w:szCs w:val="24"/>
          <w:highlight w:val="white"/>
          <w:rtl w:val="0"/>
        </w:rPr>
        <w:t xml:space="preserve">Гражданские права могут быть ограничены на основании Конституции Вавилона и только в той мере, в какой это необходимо в целях защиты прав человека, законных интересов других лиц, обеспечения безопасности Вавилона, гарантии развития научной и философской мысли, прогресса и освоения космоса. </w:t>
      </w:r>
    </w:p>
    <w:p w:rsidR="00000000" w:rsidDel="00000000" w:rsidP="00000000" w:rsidRDefault="00000000" w:rsidRPr="00000000" w14:paraId="00000005">
      <w:pPr>
        <w:pStyle w:val="Heading1"/>
        <w:keepNext w:val="0"/>
        <w:keepLines w:val="0"/>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720" w:hanging="360"/>
        <w:contextualSpacing w:val="1"/>
        <w:jc w:val="both"/>
        <w:rPr>
          <w:color w:val="333333"/>
          <w:sz w:val="24"/>
          <w:szCs w:val="24"/>
          <w:highlight w:val="white"/>
        </w:rPr>
      </w:pPr>
      <w:bookmarkStart w:colFirst="0" w:colLast="0" w:name="_dnbrfgm2qw1y" w:id="0"/>
      <w:bookmarkEnd w:id="0"/>
      <w:r w:rsidDel="00000000" w:rsidR="00000000" w:rsidRPr="00000000">
        <w:rPr>
          <w:b w:val="1"/>
          <w:color w:val="333333"/>
          <w:sz w:val="24"/>
          <w:szCs w:val="24"/>
          <w:highlight w:val="white"/>
          <w:rtl w:val="0"/>
        </w:rPr>
        <w:t xml:space="preserve">Основания возникновения гражданских прав и обязанностей</w:t>
      </w:r>
    </w:p>
    <w:p w:rsidR="00000000" w:rsidDel="00000000" w:rsidP="00000000" w:rsidRDefault="00000000" w:rsidRPr="00000000" w14:paraId="00000006">
      <w:pPr>
        <w:pStyle w:val="Heading1"/>
        <w:keepNext w:val="0"/>
        <w:keepLines w:val="0"/>
        <w:widowControl w:val="1"/>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1440" w:right="0" w:hanging="360"/>
        <w:contextualSpacing w:val="1"/>
        <w:jc w:val="both"/>
        <w:rPr>
          <w:rFonts w:ascii="Arial" w:cs="Arial" w:eastAsia="Arial" w:hAnsi="Arial"/>
          <w:b w:val="0"/>
          <w:i w:val="0"/>
          <w:smallCaps w:val="0"/>
          <w:strike w:val="0"/>
          <w:color w:val="333333"/>
          <w:sz w:val="24"/>
          <w:szCs w:val="24"/>
          <w:highlight w:val="white"/>
          <w:vertAlign w:val="baseline"/>
        </w:rPr>
      </w:pPr>
      <w:bookmarkStart w:colFirst="0" w:colLast="0" w:name="_hlcosu98eqp6" w:id="1"/>
      <w:bookmarkEnd w:id="1"/>
      <w:r w:rsidDel="00000000" w:rsidR="00000000" w:rsidRPr="00000000">
        <w:rPr>
          <w:color w:val="333333"/>
          <w:sz w:val="24"/>
          <w:szCs w:val="24"/>
          <w:highlight w:val="white"/>
          <w:rtl w:val="0"/>
        </w:rPr>
        <w:t xml:space="preserve">Гражданские права и обязанности возникают:</w:t>
      </w:r>
    </w:p>
    <w:p w:rsidR="00000000" w:rsidDel="00000000" w:rsidP="00000000" w:rsidRDefault="00000000" w:rsidRPr="00000000" w14:paraId="00000007">
      <w:pPr>
        <w:pStyle w:val="Heading1"/>
        <w:keepNext w:val="0"/>
        <w:keepLines w:val="0"/>
        <w:widowControl w:val="1"/>
        <w:numPr>
          <w:ilvl w:val="2"/>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2160" w:right="0" w:hanging="360"/>
        <w:contextualSpacing w:val="1"/>
        <w:jc w:val="both"/>
        <w:rPr>
          <w:rFonts w:ascii="Arial" w:cs="Arial" w:eastAsia="Arial" w:hAnsi="Arial"/>
          <w:b w:val="0"/>
          <w:i w:val="0"/>
          <w:smallCaps w:val="0"/>
          <w:strike w:val="0"/>
          <w:color w:val="333333"/>
          <w:sz w:val="24"/>
          <w:szCs w:val="24"/>
          <w:highlight w:val="white"/>
          <w:vertAlign w:val="baseline"/>
        </w:rPr>
      </w:pPr>
      <w:bookmarkStart w:colFirst="0" w:colLast="0" w:name="_nhjgvbgvayvp" w:id="2"/>
      <w:bookmarkEnd w:id="2"/>
      <w:r w:rsidDel="00000000" w:rsidR="00000000" w:rsidRPr="00000000">
        <w:rPr>
          <w:color w:val="333333"/>
          <w:sz w:val="24"/>
          <w:szCs w:val="24"/>
          <w:highlight w:val="white"/>
          <w:rtl w:val="0"/>
        </w:rPr>
        <w:t xml:space="preserve">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000000" w:rsidDel="00000000" w:rsidP="00000000" w:rsidRDefault="00000000" w:rsidRPr="00000000" w14:paraId="00000008">
      <w:pPr>
        <w:pStyle w:val="Heading1"/>
        <w:keepNext w:val="0"/>
        <w:keepLines w:val="0"/>
        <w:widowControl w:val="1"/>
        <w:numPr>
          <w:ilvl w:val="2"/>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2160" w:right="0" w:hanging="360"/>
        <w:contextualSpacing w:val="1"/>
        <w:jc w:val="both"/>
        <w:rPr>
          <w:rFonts w:ascii="Arial" w:cs="Arial" w:eastAsia="Arial" w:hAnsi="Arial"/>
          <w:b w:val="0"/>
          <w:i w:val="0"/>
          <w:smallCaps w:val="0"/>
          <w:strike w:val="0"/>
          <w:color w:val="333333"/>
          <w:sz w:val="24"/>
          <w:szCs w:val="24"/>
          <w:highlight w:val="white"/>
          <w:vertAlign w:val="baseline"/>
        </w:rPr>
      </w:pPr>
      <w:bookmarkStart w:colFirst="0" w:colLast="0" w:name="_jsqw6cta8p5w" w:id="3"/>
      <w:bookmarkEnd w:id="3"/>
      <w:r w:rsidDel="00000000" w:rsidR="00000000" w:rsidRPr="00000000">
        <w:rPr>
          <w:color w:val="333333"/>
          <w:sz w:val="24"/>
          <w:szCs w:val="24"/>
          <w:highlight w:val="white"/>
          <w:rtl w:val="0"/>
        </w:rPr>
        <w:t xml:space="preserve">из решений собраний в случаях, предусмотренных законом;</w:t>
      </w:r>
    </w:p>
    <w:p w:rsidR="00000000" w:rsidDel="00000000" w:rsidP="00000000" w:rsidRDefault="00000000" w:rsidRPr="00000000" w14:paraId="00000009">
      <w:pPr>
        <w:pStyle w:val="Heading1"/>
        <w:keepNext w:val="0"/>
        <w:keepLines w:val="0"/>
        <w:widowControl w:val="1"/>
        <w:numPr>
          <w:ilvl w:val="2"/>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2160" w:right="0" w:hanging="360"/>
        <w:contextualSpacing w:val="1"/>
        <w:jc w:val="both"/>
        <w:rPr>
          <w:rFonts w:ascii="Arial" w:cs="Arial" w:eastAsia="Arial" w:hAnsi="Arial"/>
          <w:b w:val="0"/>
          <w:i w:val="0"/>
          <w:smallCaps w:val="0"/>
          <w:strike w:val="0"/>
          <w:color w:val="333333"/>
          <w:sz w:val="24"/>
          <w:szCs w:val="24"/>
          <w:highlight w:val="white"/>
          <w:vertAlign w:val="baseline"/>
        </w:rPr>
      </w:pPr>
      <w:bookmarkStart w:colFirst="0" w:colLast="0" w:name="_xkdwllxnte3k" w:id="4"/>
      <w:bookmarkEnd w:id="4"/>
      <w:r w:rsidDel="00000000" w:rsidR="00000000" w:rsidRPr="00000000">
        <w:rPr>
          <w:color w:val="333333"/>
          <w:sz w:val="24"/>
          <w:szCs w:val="24"/>
          <w:highlight w:val="white"/>
          <w:rtl w:val="0"/>
        </w:rPr>
        <w:t xml:space="preserve">из решения Оракула, установившего гражданские права и обязанности;</w:t>
      </w:r>
    </w:p>
    <w:p w:rsidR="00000000" w:rsidDel="00000000" w:rsidP="00000000" w:rsidRDefault="00000000" w:rsidRPr="00000000" w14:paraId="0000000A">
      <w:pPr>
        <w:pStyle w:val="Heading1"/>
        <w:keepNext w:val="0"/>
        <w:keepLines w:val="0"/>
        <w:widowControl w:val="1"/>
        <w:numPr>
          <w:ilvl w:val="2"/>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2160" w:right="0" w:hanging="360"/>
        <w:contextualSpacing w:val="1"/>
        <w:jc w:val="both"/>
        <w:rPr>
          <w:rFonts w:ascii="Arial" w:cs="Arial" w:eastAsia="Arial" w:hAnsi="Arial"/>
          <w:b w:val="0"/>
          <w:i w:val="0"/>
          <w:smallCaps w:val="0"/>
          <w:strike w:val="0"/>
          <w:color w:val="333333"/>
          <w:sz w:val="24"/>
          <w:szCs w:val="24"/>
          <w:highlight w:val="white"/>
          <w:vertAlign w:val="baseline"/>
        </w:rPr>
      </w:pPr>
      <w:bookmarkStart w:colFirst="0" w:colLast="0" w:name="_8kl7mxtg034p" w:id="5"/>
      <w:bookmarkEnd w:id="5"/>
      <w:r w:rsidDel="00000000" w:rsidR="00000000" w:rsidRPr="00000000">
        <w:rPr>
          <w:color w:val="333333"/>
          <w:sz w:val="24"/>
          <w:szCs w:val="24"/>
          <w:highlight w:val="white"/>
          <w:rtl w:val="0"/>
        </w:rPr>
        <w:t xml:space="preserve">в результате приобретения имущества;</w:t>
      </w:r>
    </w:p>
    <w:p w:rsidR="00000000" w:rsidDel="00000000" w:rsidP="00000000" w:rsidRDefault="00000000" w:rsidRPr="00000000" w14:paraId="0000000B">
      <w:pPr>
        <w:pStyle w:val="Heading1"/>
        <w:keepNext w:val="0"/>
        <w:keepLines w:val="0"/>
        <w:widowControl w:val="1"/>
        <w:numPr>
          <w:ilvl w:val="2"/>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2160" w:right="0" w:hanging="360"/>
        <w:contextualSpacing w:val="1"/>
        <w:jc w:val="both"/>
        <w:rPr>
          <w:rFonts w:ascii="Arial" w:cs="Arial" w:eastAsia="Arial" w:hAnsi="Arial"/>
          <w:b w:val="0"/>
          <w:i w:val="0"/>
          <w:smallCaps w:val="0"/>
          <w:strike w:val="0"/>
          <w:color w:val="333333"/>
          <w:sz w:val="24"/>
          <w:szCs w:val="24"/>
          <w:highlight w:val="white"/>
          <w:vertAlign w:val="baseline"/>
        </w:rPr>
      </w:pPr>
      <w:bookmarkStart w:colFirst="0" w:colLast="0" w:name="_69h7pmfxjnz8" w:id="6"/>
      <w:bookmarkEnd w:id="6"/>
      <w:r w:rsidDel="00000000" w:rsidR="00000000" w:rsidRPr="00000000">
        <w:rPr>
          <w:color w:val="333333"/>
          <w:sz w:val="24"/>
          <w:szCs w:val="24"/>
          <w:highlight w:val="white"/>
          <w:rtl w:val="0"/>
        </w:rPr>
        <w:t xml:space="preserve">в результате создания произведений науки, литературы, искусства, изобретений и иных результатов интеллектуальной деятельности;</w:t>
      </w:r>
    </w:p>
    <w:p w:rsidR="00000000" w:rsidDel="00000000" w:rsidP="00000000" w:rsidRDefault="00000000" w:rsidRPr="00000000" w14:paraId="0000000C">
      <w:pPr>
        <w:pStyle w:val="Heading1"/>
        <w:keepNext w:val="0"/>
        <w:keepLines w:val="0"/>
        <w:widowControl w:val="1"/>
        <w:numPr>
          <w:ilvl w:val="2"/>
          <w:numId w:val="1"/>
        </w:numPr>
        <w:pBdr>
          <w:top w:color="auto" w:space="0" w:sz="0" w:val="none"/>
          <w:left w:color="auto" w:space="0" w:sz="0" w:val="none"/>
          <w:bottom w:color="auto" w:space="0" w:sz="0" w:val="none"/>
          <w:right w:color="auto" w:space="0" w:sz="0" w:val="none"/>
          <w:between w:color="auto" w:space="0" w:sz="0" w:val="none"/>
        </w:pBdr>
        <w:shd w:fill="ffffff" w:val="clear"/>
        <w:spacing w:after="280" w:before="120" w:line="360" w:lineRule="auto"/>
        <w:ind w:left="2160" w:right="0" w:hanging="360"/>
        <w:contextualSpacing w:val="1"/>
        <w:jc w:val="both"/>
        <w:rPr>
          <w:rFonts w:ascii="Arial" w:cs="Arial" w:eastAsia="Arial" w:hAnsi="Arial"/>
          <w:b w:val="0"/>
          <w:i w:val="0"/>
          <w:smallCaps w:val="0"/>
          <w:strike w:val="0"/>
          <w:color w:val="333333"/>
          <w:sz w:val="24"/>
          <w:szCs w:val="24"/>
          <w:highlight w:val="white"/>
          <w:vertAlign w:val="baseline"/>
        </w:rPr>
      </w:pPr>
      <w:bookmarkStart w:colFirst="0" w:colLast="0" w:name="_emkyoen2prcm" w:id="7"/>
      <w:bookmarkEnd w:id="7"/>
      <w:r w:rsidDel="00000000" w:rsidR="00000000" w:rsidRPr="00000000">
        <w:rPr>
          <w:color w:val="333333"/>
          <w:sz w:val="24"/>
          <w:szCs w:val="24"/>
          <w:highlight w:val="white"/>
          <w:rtl w:val="0"/>
        </w:rPr>
        <w:t xml:space="preserve">вследствие причинения вреда (материального, физического, психологического или иного) другому лицу;</w:t>
      </w:r>
    </w:p>
    <w:p w:rsidR="00000000" w:rsidDel="00000000" w:rsidP="00000000" w:rsidRDefault="00000000" w:rsidRPr="00000000" w14:paraId="0000000D">
      <w:pPr>
        <w:numPr>
          <w:ilvl w:val="0"/>
          <w:numId w:val="1"/>
        </w:numPr>
        <w:spacing w:line="360" w:lineRule="auto"/>
        <w:ind w:left="720" w:hanging="360"/>
        <w:rPr>
          <w:b w:val="1"/>
          <w:sz w:val="24"/>
          <w:szCs w:val="24"/>
        </w:rPr>
      </w:pPr>
      <w:r w:rsidDel="00000000" w:rsidR="00000000" w:rsidRPr="00000000">
        <w:rPr>
          <w:b w:val="1"/>
          <w:sz w:val="24"/>
          <w:szCs w:val="24"/>
          <w:rtl w:val="0"/>
        </w:rPr>
        <w:t xml:space="preserve">Регистрация гражданских прав и обязанностей.</w:t>
      </w:r>
    </w:p>
    <w:p w:rsidR="00000000" w:rsidDel="00000000" w:rsidP="00000000" w:rsidRDefault="00000000" w:rsidRPr="00000000" w14:paraId="0000000E">
      <w:pPr>
        <w:numPr>
          <w:ilvl w:val="1"/>
          <w:numId w:val="1"/>
        </w:numPr>
        <w:spacing w:line="360" w:lineRule="auto"/>
        <w:ind w:left="1440" w:hanging="360"/>
        <w:rPr>
          <w:sz w:val="24"/>
          <w:szCs w:val="24"/>
        </w:rPr>
      </w:pPr>
      <w:r w:rsidDel="00000000" w:rsidR="00000000" w:rsidRPr="00000000">
        <w:rPr>
          <w:sz w:val="24"/>
          <w:szCs w:val="24"/>
          <w:rtl w:val="0"/>
        </w:rPr>
        <w:t xml:space="preserve">Гражданские права следует регистрировать перед Оракулом. Не зарегистрированные должным образом права имеют силу только после особого решения Оракула. В </w:t>
      </w:r>
      <w:r w:rsidDel="00000000" w:rsidR="00000000" w:rsidRPr="00000000">
        <w:rPr>
          <w:color w:val="333333"/>
          <w:sz w:val="24"/>
          <w:szCs w:val="24"/>
          <w:highlight w:val="white"/>
          <w:rtl w:val="0"/>
        </w:rPr>
        <w:t xml:space="preserve">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000000" w:rsidDel="00000000" w:rsidP="00000000" w:rsidRDefault="00000000" w:rsidRPr="00000000" w14:paraId="0000000F">
      <w:pPr>
        <w:numPr>
          <w:ilvl w:val="1"/>
          <w:numId w:val="1"/>
        </w:numPr>
        <w:spacing w:line="360" w:lineRule="auto"/>
        <w:ind w:left="1440" w:hanging="360"/>
        <w:rPr>
          <w:color w:val="333333"/>
          <w:sz w:val="24"/>
          <w:szCs w:val="24"/>
          <w:highlight w:val="white"/>
        </w:rPr>
      </w:pPr>
      <w:r w:rsidDel="00000000" w:rsidR="00000000" w:rsidRPr="00000000">
        <w:rPr>
          <w:color w:val="333333"/>
          <w:sz w:val="24"/>
          <w:szCs w:val="24"/>
          <w:highlight w:val="white"/>
          <w:rtl w:val="0"/>
        </w:rPr>
        <w:t xml:space="preserve">Если право на имущество возникает, изменяется или прекращается, уполномоченный Аудитор (User 0) вправе проверить законность соответствующей сделки в случаях и в порядке, установленными Оракулом.</w:t>
      </w:r>
    </w:p>
    <w:p w:rsidR="00000000" w:rsidDel="00000000" w:rsidP="00000000" w:rsidRDefault="00000000" w:rsidRPr="00000000" w14:paraId="00000010">
      <w:pPr>
        <w:numPr>
          <w:ilvl w:val="1"/>
          <w:numId w:val="1"/>
        </w:numPr>
        <w:spacing w:line="360" w:lineRule="auto"/>
        <w:ind w:left="1440" w:hanging="360"/>
        <w:rPr>
          <w:color w:val="333333"/>
          <w:sz w:val="24"/>
          <w:szCs w:val="24"/>
          <w:highlight w:val="white"/>
        </w:rPr>
      </w:pPr>
      <w:r w:rsidDel="00000000" w:rsidR="00000000" w:rsidRPr="00000000">
        <w:rPr>
          <w:color w:val="333333"/>
          <w:sz w:val="24"/>
          <w:szCs w:val="24"/>
          <w:highlight w:val="white"/>
          <w:rtl w:val="0"/>
        </w:rPr>
        <w:t xml:space="preserve">Зарегистрированное право может быть оспорено только в судебном порядке. Лицо, указанное в реестре Оракула в качестве правообладателя, признается таковым, пока в установленном законом порядке в реестр не внесена запись об ином.</w:t>
      </w:r>
    </w:p>
    <w:p w:rsidR="00000000" w:rsidDel="00000000" w:rsidP="00000000" w:rsidRDefault="00000000" w:rsidRPr="00000000" w14:paraId="00000011">
      <w:pPr>
        <w:numPr>
          <w:ilvl w:val="1"/>
          <w:numId w:val="1"/>
        </w:numPr>
        <w:spacing w:line="360" w:lineRule="auto"/>
        <w:ind w:left="1440" w:hanging="360"/>
        <w:rPr>
          <w:color w:val="333333"/>
          <w:sz w:val="24"/>
          <w:szCs w:val="24"/>
          <w:highlight w:val="white"/>
        </w:rPr>
      </w:pPr>
      <w:r w:rsidDel="00000000" w:rsidR="00000000" w:rsidRPr="00000000">
        <w:rPr>
          <w:color w:val="333333"/>
          <w:sz w:val="24"/>
          <w:szCs w:val="24"/>
          <w:highlight w:val="white"/>
          <w:rtl w:val="0"/>
        </w:rPr>
        <w:t xml:space="preserve">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000000" w:rsidDel="00000000" w:rsidP="00000000" w:rsidRDefault="00000000" w:rsidRPr="00000000" w14:paraId="00000012">
      <w:pPr>
        <w:numPr>
          <w:ilvl w:val="0"/>
          <w:numId w:val="1"/>
        </w:numPr>
        <w:spacing w:line="360" w:lineRule="auto"/>
        <w:ind w:left="720" w:hanging="360"/>
        <w:rPr>
          <w:b w:val="1"/>
          <w:color w:val="333333"/>
          <w:sz w:val="24"/>
          <w:szCs w:val="24"/>
          <w:highlight w:val="white"/>
        </w:rPr>
      </w:pPr>
      <w:r w:rsidDel="00000000" w:rsidR="00000000" w:rsidRPr="00000000">
        <w:rPr>
          <w:b w:val="1"/>
          <w:color w:val="333333"/>
          <w:sz w:val="24"/>
          <w:szCs w:val="24"/>
          <w:highlight w:val="white"/>
          <w:rtl w:val="0"/>
        </w:rPr>
        <w:t xml:space="preserve">Аудит гражданских прав и обязанностей.</w:t>
      </w:r>
    </w:p>
    <w:p w:rsidR="00000000" w:rsidDel="00000000" w:rsidP="00000000" w:rsidRDefault="00000000" w:rsidRPr="00000000" w14:paraId="00000013">
      <w:pPr>
        <w:numPr>
          <w:ilvl w:val="1"/>
          <w:numId w:val="1"/>
        </w:numPr>
        <w:spacing w:line="360" w:lineRule="auto"/>
        <w:ind w:left="1440" w:hanging="360"/>
        <w:rPr>
          <w:color w:val="333333"/>
          <w:sz w:val="24"/>
          <w:szCs w:val="24"/>
          <w:highlight w:val="white"/>
        </w:rPr>
      </w:pPr>
      <w:r w:rsidDel="00000000" w:rsidR="00000000" w:rsidRPr="00000000">
        <w:rPr>
          <w:color w:val="333333"/>
          <w:sz w:val="24"/>
          <w:szCs w:val="24"/>
          <w:highlight w:val="white"/>
          <w:rtl w:val="0"/>
        </w:rPr>
        <w:t xml:space="preserve">Оракул должен и может время от времени, по своему усмотрению назначать Аудитора (User 0) для проверки определенных прав, объектов, действий или территорий, а также для полного  аудита действий физических или юридических лиц. </w:t>
      </w:r>
    </w:p>
    <w:p w:rsidR="00000000" w:rsidDel="00000000" w:rsidP="00000000" w:rsidRDefault="00000000" w:rsidRPr="00000000" w14:paraId="00000014">
      <w:pPr>
        <w:pStyle w:val="Heading1"/>
        <w:keepNext w:val="0"/>
        <w:keepLines w:val="0"/>
        <w:numPr>
          <w:ilvl w:val="0"/>
          <w:numId w:val="1"/>
        </w:numPr>
        <w:shd w:fill="ffffff" w:val="clear"/>
        <w:spacing w:after="280" w:before="120" w:line="360" w:lineRule="auto"/>
        <w:ind w:left="720" w:hanging="360"/>
        <w:jc w:val="both"/>
        <w:rPr>
          <w:color w:val="333333"/>
          <w:sz w:val="24"/>
          <w:szCs w:val="24"/>
          <w:highlight w:val="white"/>
        </w:rPr>
      </w:pPr>
      <w:bookmarkStart w:colFirst="0" w:colLast="0" w:name="_bgjeduhmfeqb" w:id="8"/>
      <w:bookmarkEnd w:id="8"/>
      <w:r w:rsidDel="00000000" w:rsidR="00000000" w:rsidRPr="00000000">
        <w:rPr>
          <w:b w:val="1"/>
          <w:color w:val="333333"/>
          <w:sz w:val="24"/>
          <w:szCs w:val="24"/>
          <w:highlight w:val="white"/>
          <w:rtl w:val="0"/>
        </w:rPr>
        <w:t xml:space="preserve">Способы защиты гражданских прав</w:t>
      </w:r>
    </w:p>
    <w:p w:rsidR="00000000" w:rsidDel="00000000" w:rsidP="00000000" w:rsidRDefault="00000000" w:rsidRPr="00000000" w14:paraId="00000015">
      <w:pPr>
        <w:pStyle w:val="Heading1"/>
        <w:keepNext w:val="0"/>
        <w:keepLines w:val="0"/>
        <w:numPr>
          <w:ilvl w:val="1"/>
          <w:numId w:val="1"/>
        </w:numPr>
        <w:shd w:fill="ffffff" w:val="clear"/>
        <w:spacing w:after="280" w:before="120" w:line="360" w:lineRule="auto"/>
        <w:ind w:left="1440" w:hanging="360"/>
        <w:jc w:val="both"/>
        <w:rPr>
          <w:color w:val="333333"/>
          <w:sz w:val="24"/>
          <w:szCs w:val="24"/>
          <w:highlight w:val="white"/>
        </w:rPr>
      </w:pPr>
      <w:bookmarkStart w:colFirst="0" w:colLast="0" w:name="_ipw45iplajij" w:id="9"/>
      <w:bookmarkEnd w:id="9"/>
      <w:r w:rsidDel="00000000" w:rsidR="00000000" w:rsidRPr="00000000">
        <w:rPr>
          <w:b w:val="1"/>
          <w:color w:val="333333"/>
          <w:sz w:val="24"/>
          <w:szCs w:val="24"/>
          <w:highlight w:val="white"/>
          <w:rtl w:val="0"/>
        </w:rPr>
        <w:t xml:space="preserve"> </w:t>
      </w:r>
      <w:r w:rsidDel="00000000" w:rsidR="00000000" w:rsidRPr="00000000">
        <w:rPr>
          <w:color w:val="333333"/>
          <w:sz w:val="24"/>
          <w:szCs w:val="24"/>
          <w:highlight w:val="white"/>
          <w:rtl w:val="0"/>
        </w:rPr>
        <w:t xml:space="preserve">Защита гражданских прав осуществляется путем:</w:t>
      </w:r>
    </w:p>
    <w:p w:rsidR="00000000" w:rsidDel="00000000" w:rsidP="00000000" w:rsidRDefault="00000000" w:rsidRPr="00000000" w14:paraId="00000016">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n7v3ou2lw1c8" w:id="10"/>
      <w:bookmarkEnd w:id="10"/>
      <w:r w:rsidDel="00000000" w:rsidR="00000000" w:rsidRPr="00000000">
        <w:rPr>
          <w:color w:val="333333"/>
          <w:sz w:val="24"/>
          <w:szCs w:val="24"/>
          <w:highlight w:val="white"/>
          <w:rtl w:val="0"/>
        </w:rPr>
        <w:t xml:space="preserve">признания права;</w:t>
      </w:r>
    </w:p>
    <w:p w:rsidR="00000000" w:rsidDel="00000000" w:rsidP="00000000" w:rsidRDefault="00000000" w:rsidRPr="00000000" w14:paraId="00000017">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g3nyhnuo3voe" w:id="11"/>
      <w:bookmarkEnd w:id="11"/>
      <w:r w:rsidDel="00000000" w:rsidR="00000000" w:rsidRPr="00000000">
        <w:rPr>
          <w:color w:val="333333"/>
          <w:sz w:val="24"/>
          <w:szCs w:val="24"/>
          <w:highlight w:val="white"/>
          <w:rtl w:val="0"/>
        </w:rPr>
        <w:t xml:space="preserve">восстановления положения, существовавшего до нарушения права, и пресечения действий, нарушающих право или создающих угрозу его нарушения;</w:t>
      </w:r>
    </w:p>
    <w:p w:rsidR="00000000" w:rsidDel="00000000" w:rsidP="00000000" w:rsidRDefault="00000000" w:rsidRPr="00000000" w14:paraId="00000018">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l3xxp52aov1t" w:id="12"/>
      <w:bookmarkEnd w:id="12"/>
      <w:r w:rsidDel="00000000" w:rsidR="00000000" w:rsidRPr="00000000">
        <w:rPr>
          <w:color w:val="333333"/>
          <w:sz w:val="24"/>
          <w:szCs w:val="24"/>
          <w:highlight w:val="white"/>
          <w:rtl w:val="0"/>
        </w:rPr>
        <w:t xml:space="preserve">признания оспариваемой сделки недействительной и признания последствий этой сделки недействительными;</w:t>
      </w:r>
    </w:p>
    <w:p w:rsidR="00000000" w:rsidDel="00000000" w:rsidP="00000000" w:rsidRDefault="00000000" w:rsidRPr="00000000" w14:paraId="00000019">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8fi3dp6ydhss" w:id="13"/>
      <w:bookmarkEnd w:id="13"/>
      <w:r w:rsidDel="00000000" w:rsidR="00000000" w:rsidRPr="00000000">
        <w:rPr>
          <w:color w:val="333333"/>
          <w:sz w:val="24"/>
          <w:szCs w:val="24"/>
          <w:highlight w:val="white"/>
          <w:rtl w:val="0"/>
        </w:rPr>
        <w:t xml:space="preserve">признания недействительным решения собрания;</w:t>
      </w:r>
    </w:p>
    <w:p w:rsidR="00000000" w:rsidDel="00000000" w:rsidP="00000000" w:rsidRDefault="00000000" w:rsidRPr="00000000" w14:paraId="0000001A">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f957gnjijvy6" w:id="14"/>
      <w:bookmarkEnd w:id="14"/>
      <w:r w:rsidDel="00000000" w:rsidR="00000000" w:rsidRPr="00000000">
        <w:rPr>
          <w:color w:val="333333"/>
          <w:sz w:val="24"/>
          <w:szCs w:val="24"/>
          <w:highlight w:val="white"/>
          <w:rtl w:val="0"/>
        </w:rPr>
        <w:t xml:space="preserve">признания недействительным акта органа управления или безопасности;</w:t>
      </w:r>
    </w:p>
    <w:p w:rsidR="00000000" w:rsidDel="00000000" w:rsidP="00000000" w:rsidRDefault="00000000" w:rsidRPr="00000000" w14:paraId="0000001B">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sygh11o405sz" w:id="15"/>
      <w:bookmarkEnd w:id="15"/>
      <w:r w:rsidDel="00000000" w:rsidR="00000000" w:rsidRPr="00000000">
        <w:rPr>
          <w:color w:val="333333"/>
          <w:sz w:val="24"/>
          <w:szCs w:val="24"/>
          <w:highlight w:val="white"/>
          <w:rtl w:val="0"/>
        </w:rPr>
        <w:t xml:space="preserve">Присуждения к исполнению обязанности в натуре;</w:t>
      </w:r>
    </w:p>
    <w:p w:rsidR="00000000" w:rsidDel="00000000" w:rsidP="00000000" w:rsidRDefault="00000000" w:rsidRPr="00000000" w14:paraId="0000001C">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dzz3nucpdgse" w:id="16"/>
      <w:bookmarkEnd w:id="16"/>
      <w:r w:rsidDel="00000000" w:rsidR="00000000" w:rsidRPr="00000000">
        <w:rPr>
          <w:color w:val="333333"/>
          <w:sz w:val="24"/>
          <w:szCs w:val="24"/>
          <w:highlight w:val="white"/>
          <w:rtl w:val="0"/>
        </w:rPr>
        <w:t xml:space="preserve">возмещения убытков;</w:t>
      </w:r>
    </w:p>
    <w:p w:rsidR="00000000" w:rsidDel="00000000" w:rsidP="00000000" w:rsidRDefault="00000000" w:rsidRPr="00000000" w14:paraId="0000001D">
      <w:pPr>
        <w:numPr>
          <w:ilvl w:val="3"/>
          <w:numId w:val="1"/>
        </w:numPr>
        <w:spacing w:line="360" w:lineRule="auto"/>
        <w:ind w:left="2880" w:hanging="360"/>
        <w:jc w:val="both"/>
        <w:rPr>
          <w:sz w:val="24"/>
          <w:szCs w:val="24"/>
        </w:rPr>
      </w:pPr>
      <w:r w:rsidDel="00000000" w:rsidR="00000000" w:rsidRPr="00000000">
        <w:rPr>
          <w:color w:val="333333"/>
          <w:sz w:val="24"/>
          <w:szCs w:val="24"/>
          <w:highlight w:val="white"/>
          <w:rtl w:val="0"/>
        </w:rPr>
        <w:t xml:space="preserve">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000000" w:rsidDel="00000000" w:rsidP="00000000" w:rsidRDefault="00000000" w:rsidRPr="00000000" w14:paraId="0000001E">
      <w:pPr>
        <w:numPr>
          <w:ilvl w:val="3"/>
          <w:numId w:val="1"/>
        </w:numPr>
        <w:spacing w:line="360" w:lineRule="auto"/>
        <w:ind w:left="2880" w:hanging="360"/>
        <w:jc w:val="both"/>
        <w:rPr>
          <w:color w:val="333333"/>
          <w:sz w:val="24"/>
          <w:szCs w:val="24"/>
          <w:highlight w:val="white"/>
        </w:rPr>
      </w:pPr>
      <w:r w:rsidDel="00000000" w:rsidR="00000000" w:rsidRPr="00000000">
        <w:rPr>
          <w:color w:val="333333"/>
          <w:sz w:val="24"/>
          <w:szCs w:val="24"/>
          <w:highlight w:val="white"/>
          <w:rtl w:val="0"/>
        </w:rPr>
        <w:t xml:space="preserve">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w:t>
      </w:r>
      <w:r w:rsidDel="00000000" w:rsidR="00000000" w:rsidRPr="00000000">
        <w:rPr>
          <w:rtl w:val="0"/>
        </w:rPr>
      </w:r>
    </w:p>
    <w:p w:rsidR="00000000" w:rsidDel="00000000" w:rsidP="00000000" w:rsidRDefault="00000000" w:rsidRPr="00000000" w14:paraId="0000001F">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biz6c3uldxbc" w:id="17"/>
      <w:bookmarkEnd w:id="17"/>
      <w:r w:rsidDel="00000000" w:rsidR="00000000" w:rsidRPr="00000000">
        <w:rPr>
          <w:color w:val="333333"/>
          <w:sz w:val="24"/>
          <w:szCs w:val="24"/>
          <w:highlight w:val="white"/>
          <w:rtl w:val="0"/>
        </w:rPr>
        <w:t xml:space="preserve">взыскания неустойки;</w:t>
      </w:r>
    </w:p>
    <w:p w:rsidR="00000000" w:rsidDel="00000000" w:rsidP="00000000" w:rsidRDefault="00000000" w:rsidRPr="00000000" w14:paraId="00000020">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c4yl64pr8xvl" w:id="18"/>
      <w:bookmarkEnd w:id="18"/>
      <w:r w:rsidDel="00000000" w:rsidR="00000000" w:rsidRPr="00000000">
        <w:rPr>
          <w:color w:val="333333"/>
          <w:sz w:val="24"/>
          <w:szCs w:val="24"/>
          <w:highlight w:val="white"/>
          <w:rtl w:val="0"/>
        </w:rPr>
        <w:t xml:space="preserve">компенсации морального вреда;</w:t>
      </w:r>
    </w:p>
    <w:p w:rsidR="00000000" w:rsidDel="00000000" w:rsidP="00000000" w:rsidRDefault="00000000" w:rsidRPr="00000000" w14:paraId="00000021">
      <w:pPr>
        <w:pStyle w:val="Heading1"/>
        <w:keepNext w:val="0"/>
        <w:keepLines w:val="0"/>
        <w:numPr>
          <w:ilvl w:val="2"/>
          <w:numId w:val="1"/>
        </w:numPr>
        <w:shd w:fill="ffffff" w:val="clear"/>
        <w:spacing w:after="280" w:before="120" w:line="360" w:lineRule="auto"/>
        <w:ind w:left="2160" w:hanging="360"/>
        <w:jc w:val="both"/>
        <w:rPr>
          <w:color w:val="333333"/>
          <w:sz w:val="24"/>
          <w:szCs w:val="24"/>
          <w:highlight w:val="white"/>
        </w:rPr>
      </w:pPr>
      <w:bookmarkStart w:colFirst="0" w:colLast="0" w:name="_16xzkfmgxz1u" w:id="19"/>
      <w:bookmarkEnd w:id="19"/>
      <w:r w:rsidDel="00000000" w:rsidR="00000000" w:rsidRPr="00000000">
        <w:rPr>
          <w:color w:val="333333"/>
          <w:sz w:val="24"/>
          <w:szCs w:val="24"/>
          <w:highlight w:val="white"/>
          <w:rtl w:val="0"/>
        </w:rPr>
        <w:t xml:space="preserve">прекращения или изменения правоотношения;</w:t>
      </w:r>
    </w:p>
    <w:p w:rsidR="00000000" w:rsidDel="00000000" w:rsidP="00000000" w:rsidRDefault="00000000" w:rsidRPr="00000000" w14:paraId="00000022">
      <w:pPr>
        <w:numPr>
          <w:ilvl w:val="2"/>
          <w:numId w:val="1"/>
        </w:numPr>
        <w:spacing w:before="120" w:line="360" w:lineRule="auto"/>
        <w:ind w:left="2160" w:hanging="360"/>
        <w:jc w:val="both"/>
        <w:rPr>
          <w:color w:val="333333"/>
          <w:sz w:val="24"/>
          <w:szCs w:val="24"/>
          <w:highlight w:val="white"/>
        </w:rPr>
      </w:pPr>
      <w:r w:rsidDel="00000000" w:rsidR="00000000" w:rsidRPr="00000000">
        <w:rPr>
          <w:color w:val="333333"/>
          <w:sz w:val="24"/>
          <w:szCs w:val="24"/>
          <w:highlight w:val="white"/>
          <w:rtl w:val="0"/>
        </w:rPr>
        <w:t xml:space="preserve">неприменения органа управления или безопасности;</w:t>
      </w:r>
    </w:p>
    <w:p w:rsidR="00000000" w:rsidDel="00000000" w:rsidP="00000000" w:rsidRDefault="00000000" w:rsidRPr="00000000" w14:paraId="00000023">
      <w:pPr>
        <w:pStyle w:val="Heading1"/>
        <w:keepNext w:val="0"/>
        <w:keepLines w:val="0"/>
        <w:numPr>
          <w:ilvl w:val="0"/>
          <w:numId w:val="1"/>
        </w:numPr>
        <w:shd w:fill="ffffff" w:val="clear"/>
        <w:spacing w:after="280" w:before="120" w:line="360" w:lineRule="auto"/>
        <w:ind w:left="720" w:hanging="360"/>
        <w:jc w:val="both"/>
        <w:rPr>
          <w:color w:val="333333"/>
          <w:sz w:val="24"/>
          <w:szCs w:val="24"/>
          <w:highlight w:val="white"/>
        </w:rPr>
      </w:pPr>
      <w:bookmarkStart w:colFirst="0" w:colLast="0" w:name="_3sao5wdc9p6u" w:id="20"/>
      <w:bookmarkEnd w:id="20"/>
      <w:r w:rsidDel="00000000" w:rsidR="00000000" w:rsidRPr="00000000">
        <w:rPr>
          <w:b w:val="1"/>
          <w:color w:val="333333"/>
          <w:sz w:val="24"/>
          <w:szCs w:val="24"/>
          <w:highlight w:val="white"/>
          <w:rtl w:val="0"/>
        </w:rPr>
        <w:t xml:space="preserve"> Дееспособность гражданина</w:t>
      </w:r>
      <w:r w:rsidDel="00000000" w:rsidR="00000000" w:rsidRPr="00000000">
        <w:rPr>
          <w:rtl w:val="0"/>
        </w:rPr>
      </w:r>
    </w:p>
    <w:p w:rsidR="00000000" w:rsidDel="00000000" w:rsidP="00000000" w:rsidRDefault="00000000" w:rsidRPr="00000000" w14:paraId="00000024">
      <w:pPr>
        <w:pStyle w:val="Heading1"/>
        <w:keepNext w:val="0"/>
        <w:keepLines w:val="0"/>
        <w:numPr>
          <w:ilvl w:val="1"/>
          <w:numId w:val="1"/>
        </w:numPr>
        <w:shd w:fill="ffffff" w:val="clear"/>
        <w:spacing w:after="280" w:before="120" w:line="360" w:lineRule="auto"/>
        <w:ind w:left="1440" w:hanging="360"/>
        <w:jc w:val="both"/>
        <w:rPr>
          <w:color w:val="333333"/>
          <w:sz w:val="24"/>
          <w:szCs w:val="24"/>
          <w:highlight w:val="white"/>
        </w:rPr>
      </w:pPr>
      <w:bookmarkStart w:colFirst="0" w:colLast="0" w:name="_68utiyd4cm7d" w:id="21"/>
      <w:bookmarkEnd w:id="21"/>
      <w:r w:rsidDel="00000000" w:rsidR="00000000" w:rsidRPr="00000000">
        <w:rPr>
          <w:color w:val="333333"/>
          <w:sz w:val="24"/>
          <w:szCs w:val="24"/>
          <w:highlight w:val="white"/>
          <w:rtl w:val="0"/>
        </w:rPr>
        <w:t xml:space="preserve">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согласно обычаям народа, по решению Оракула, принятому на основании мнения специалиста, по завершению процесса эмансипации.</w:t>
      </w:r>
    </w:p>
    <w:p w:rsidR="00000000" w:rsidDel="00000000" w:rsidP="00000000" w:rsidRDefault="00000000" w:rsidRPr="00000000" w14:paraId="00000025">
      <w:pPr>
        <w:numPr>
          <w:ilvl w:val="1"/>
          <w:numId w:val="1"/>
        </w:numPr>
        <w:spacing w:before="120" w:line="360" w:lineRule="auto"/>
        <w:ind w:left="1440" w:hanging="360"/>
        <w:jc w:val="both"/>
        <w:rPr>
          <w:sz w:val="24"/>
          <w:szCs w:val="24"/>
        </w:rPr>
      </w:pPr>
      <w:r w:rsidDel="00000000" w:rsidR="00000000" w:rsidRPr="00000000">
        <w:rPr>
          <w:color w:val="333333"/>
          <w:sz w:val="24"/>
          <w:szCs w:val="24"/>
          <w:rtl w:val="0"/>
        </w:rPr>
        <w:t xml:space="preserve">Несовершеннолетний может быть объявлен полностью дееспособным, если он работает по трудовому договору или занимается предпринимательской деятельностью.</w:t>
      </w:r>
    </w:p>
    <w:p w:rsidR="00000000" w:rsidDel="00000000" w:rsidP="00000000" w:rsidRDefault="00000000" w:rsidRPr="00000000" w14:paraId="00000026">
      <w:pPr>
        <w:numPr>
          <w:ilvl w:val="1"/>
          <w:numId w:val="1"/>
        </w:numPr>
        <w:spacing w:before="120" w:line="360" w:lineRule="auto"/>
        <w:ind w:left="1440" w:hanging="360"/>
        <w:jc w:val="both"/>
        <w:rPr>
          <w:sz w:val="24"/>
          <w:szCs w:val="24"/>
        </w:rPr>
      </w:pPr>
      <w:r w:rsidDel="00000000" w:rsidR="00000000" w:rsidRPr="00000000">
        <w:rPr>
          <w:color w:val="333333"/>
          <w:sz w:val="24"/>
          <w:szCs w:val="24"/>
          <w:rtl w:val="0"/>
        </w:rPr>
        <w:t xml:space="preserve">Объявление несовершеннолетнего полностью дееспособным (эмансипация) производится по решению Оракула.</w:t>
      </w:r>
    </w:p>
    <w:p w:rsidR="00000000" w:rsidDel="00000000" w:rsidP="00000000" w:rsidRDefault="00000000" w:rsidRPr="00000000" w14:paraId="00000027">
      <w:pPr>
        <w:numPr>
          <w:ilvl w:val="1"/>
          <w:numId w:val="1"/>
        </w:numPr>
        <w:spacing w:before="120" w:line="360" w:lineRule="auto"/>
        <w:ind w:left="1440" w:hanging="360"/>
        <w:jc w:val="both"/>
        <w:rPr>
          <w:sz w:val="24"/>
          <w:szCs w:val="24"/>
        </w:rPr>
      </w:pPr>
      <w:r w:rsidDel="00000000" w:rsidR="00000000" w:rsidRPr="00000000">
        <w:rPr>
          <w:color w:val="333333"/>
          <w:sz w:val="24"/>
          <w:szCs w:val="24"/>
          <w:rtl w:val="0"/>
        </w:rPr>
        <w:t xml:space="preserve">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000000" w:rsidDel="00000000" w:rsidP="00000000" w:rsidRDefault="00000000" w:rsidRPr="00000000" w14:paraId="00000028">
      <w:pPr>
        <w:numPr>
          <w:ilvl w:val="0"/>
          <w:numId w:val="1"/>
        </w:numPr>
        <w:spacing w:before="120" w:line="360" w:lineRule="auto"/>
        <w:ind w:left="720" w:hanging="360"/>
        <w:jc w:val="both"/>
        <w:rPr>
          <w:b w:val="1"/>
          <w:color w:val="333333"/>
          <w:sz w:val="24"/>
          <w:szCs w:val="24"/>
          <w:highlight w:val="white"/>
        </w:rPr>
      </w:pPr>
      <w:r w:rsidDel="00000000" w:rsidR="00000000" w:rsidRPr="00000000">
        <w:rPr>
          <w:b w:val="1"/>
          <w:color w:val="333333"/>
          <w:sz w:val="24"/>
          <w:szCs w:val="24"/>
          <w:highlight w:val="white"/>
          <w:rtl w:val="0"/>
        </w:rPr>
        <w:t xml:space="preserve">Дееспособность юридических лиц.</w:t>
      </w:r>
    </w:p>
    <w:p w:rsidR="00000000" w:rsidDel="00000000" w:rsidP="00000000" w:rsidRDefault="00000000" w:rsidRPr="00000000" w14:paraId="00000029">
      <w:pPr>
        <w:numPr>
          <w:ilvl w:val="1"/>
          <w:numId w:val="1"/>
        </w:numPr>
        <w:spacing w:before="120" w:line="360" w:lineRule="auto"/>
        <w:ind w:left="1440" w:hanging="360"/>
        <w:jc w:val="both"/>
        <w:rPr>
          <w:color w:val="333333"/>
          <w:sz w:val="24"/>
          <w:szCs w:val="24"/>
          <w:highlight w:val="white"/>
        </w:rPr>
      </w:pPr>
      <w:r w:rsidDel="00000000" w:rsidR="00000000" w:rsidRPr="00000000">
        <w:rPr>
          <w:color w:val="333333"/>
          <w:sz w:val="24"/>
          <w:szCs w:val="24"/>
          <w:highlight w:val="white"/>
          <w:rtl w:val="0"/>
        </w:rPr>
        <w:t xml:space="preserve">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000000" w:rsidDel="00000000" w:rsidP="00000000" w:rsidRDefault="00000000" w:rsidRPr="00000000" w14:paraId="0000002A">
      <w:pPr>
        <w:numPr>
          <w:ilvl w:val="1"/>
          <w:numId w:val="1"/>
        </w:numPr>
        <w:spacing w:before="120" w:line="360" w:lineRule="auto"/>
        <w:ind w:left="1440" w:hanging="360"/>
        <w:jc w:val="both"/>
        <w:rPr>
          <w:color w:val="333333"/>
          <w:sz w:val="24"/>
          <w:szCs w:val="24"/>
          <w:highlight w:val="white"/>
        </w:rPr>
      </w:pPr>
      <w:r w:rsidDel="00000000" w:rsidR="00000000" w:rsidRPr="00000000">
        <w:rPr>
          <w:color w:val="333333"/>
          <w:sz w:val="24"/>
          <w:szCs w:val="24"/>
          <w:highlight w:val="white"/>
          <w:rtl w:val="0"/>
        </w:rPr>
        <w:t xml:space="preserve">Корпорации являются коммерческими организациями, выкупившими пакет в Корпоративном Совете и зарегистрированные Оракулом в качестве Корпорации Вавилона. Доля корпорации в Совете составляет одну пятую (1 / 5). </w:t>
      </w:r>
    </w:p>
    <w:p w:rsidR="00000000" w:rsidDel="00000000" w:rsidP="00000000" w:rsidRDefault="00000000" w:rsidRPr="00000000" w14:paraId="0000002B">
      <w:pPr>
        <w:numPr>
          <w:ilvl w:val="1"/>
          <w:numId w:val="1"/>
        </w:numPr>
        <w:spacing w:before="120" w:line="360" w:lineRule="auto"/>
        <w:ind w:left="1440" w:hanging="360"/>
        <w:jc w:val="both"/>
        <w:rPr>
          <w:color w:val="333333"/>
          <w:sz w:val="24"/>
          <w:szCs w:val="24"/>
          <w:highlight w:val="white"/>
        </w:rPr>
      </w:pPr>
      <w:r w:rsidDel="00000000" w:rsidR="00000000" w:rsidRPr="00000000">
        <w:rPr>
          <w:color w:val="333333"/>
          <w:sz w:val="24"/>
          <w:szCs w:val="24"/>
          <w:highlight w:val="white"/>
          <w:rtl w:val="0"/>
        </w:rPr>
        <w:t xml:space="preserve">Корпорации и другие юридические лица могут и должны действовать в соответствии с уставными документами (устав, список акционеров и владельцев, регистрация прав). </w:t>
      </w:r>
    </w:p>
    <w:p w:rsidR="00000000" w:rsidDel="00000000" w:rsidP="00000000" w:rsidRDefault="00000000" w:rsidRPr="00000000" w14:paraId="0000002C">
      <w:pPr>
        <w:numPr>
          <w:ilvl w:val="2"/>
          <w:numId w:val="1"/>
        </w:numPr>
        <w:spacing w:before="120" w:line="360" w:lineRule="auto"/>
        <w:ind w:left="2160" w:hanging="360"/>
        <w:jc w:val="both"/>
        <w:rPr>
          <w:color w:val="333333"/>
          <w:sz w:val="24"/>
          <w:szCs w:val="24"/>
          <w:highlight w:val="white"/>
        </w:rPr>
      </w:pPr>
      <w:r w:rsidDel="00000000" w:rsidR="00000000" w:rsidRPr="00000000">
        <w:rPr>
          <w:color w:val="333333"/>
          <w:sz w:val="24"/>
          <w:szCs w:val="24"/>
          <w:highlight w:val="white"/>
          <w:rtl w:val="0"/>
        </w:rPr>
        <w:t xml:space="preserve">Оракул может и должен проводить аудит деятельности юридических лиц по необходимости и тем путем, который кажется ему верным. </w:t>
      </w:r>
    </w:p>
    <w:p w:rsidR="00000000" w:rsidDel="00000000" w:rsidP="00000000" w:rsidRDefault="00000000" w:rsidRPr="00000000" w14:paraId="0000002D">
      <w:pPr>
        <w:numPr>
          <w:ilvl w:val="2"/>
          <w:numId w:val="1"/>
        </w:numPr>
        <w:spacing w:before="120" w:line="360" w:lineRule="auto"/>
        <w:ind w:left="2160" w:hanging="360"/>
        <w:jc w:val="both"/>
        <w:rPr>
          <w:color w:val="333333"/>
          <w:sz w:val="24"/>
          <w:szCs w:val="24"/>
          <w:highlight w:val="white"/>
        </w:rPr>
      </w:pPr>
      <w:r w:rsidDel="00000000" w:rsidR="00000000" w:rsidRPr="00000000">
        <w:rPr>
          <w:color w:val="333333"/>
          <w:sz w:val="24"/>
          <w:szCs w:val="24"/>
          <w:highlight w:val="white"/>
          <w:rtl w:val="0"/>
        </w:rPr>
        <w:t xml:space="preserve">Корпорации могут изменить текст уставных документов после одобрения этого текста управляющим советом корпорации или иным образом, указанным в уставных документах. Изменение входит в силу после утверждения Оракулом. В рамках утверждения изменений Оракул может и должен рассматривать законность изменений, соответствия изменений Конституции и иным законом, целесообразности этих изменений для развития всего человечества, научного прогресса, космической экспансии.</w:t>
      </w:r>
    </w:p>
    <w:p w:rsidR="00000000" w:rsidDel="00000000" w:rsidP="00000000" w:rsidRDefault="00000000" w:rsidRPr="00000000" w14:paraId="0000002E">
      <w:pPr>
        <w:numPr>
          <w:ilvl w:val="1"/>
          <w:numId w:val="1"/>
        </w:numPr>
        <w:spacing w:before="120" w:line="360" w:lineRule="auto"/>
        <w:ind w:left="1440" w:hanging="360"/>
        <w:jc w:val="both"/>
        <w:rPr>
          <w:color w:val="333333"/>
          <w:sz w:val="24"/>
          <w:szCs w:val="24"/>
          <w:highlight w:val="white"/>
        </w:rPr>
      </w:pPr>
      <w:r w:rsidDel="00000000" w:rsidR="00000000" w:rsidRPr="00000000">
        <w:rPr>
          <w:color w:val="333333"/>
          <w:sz w:val="24"/>
          <w:szCs w:val="24"/>
          <w:highlight w:val="white"/>
          <w:rtl w:val="0"/>
        </w:rPr>
        <w:t xml:space="preserve">Юридические лица несут финансовую и моральную ответственность за исполнение гражданских обязанностей, в том числе по договорам, унаследованным в рамках сделки по выкупу контрольного пакета, пакета в Корпоративном совете и иным документам. </w:t>
      </w:r>
    </w:p>
    <w:p w:rsidR="00000000" w:rsidDel="00000000" w:rsidP="00000000" w:rsidRDefault="00000000" w:rsidRPr="00000000" w14:paraId="0000002F">
      <w:pPr>
        <w:numPr>
          <w:ilvl w:val="0"/>
          <w:numId w:val="1"/>
        </w:numPr>
        <w:spacing w:before="120" w:line="360" w:lineRule="auto"/>
        <w:ind w:left="720" w:hanging="360"/>
        <w:jc w:val="both"/>
        <w:rPr>
          <w:b w:val="1"/>
          <w:color w:val="333333"/>
          <w:sz w:val="24"/>
          <w:szCs w:val="24"/>
          <w:highlight w:val="white"/>
        </w:rPr>
      </w:pPr>
      <w:r w:rsidDel="00000000" w:rsidR="00000000" w:rsidRPr="00000000">
        <w:rPr>
          <w:b w:val="1"/>
          <w:color w:val="333333"/>
          <w:sz w:val="24"/>
          <w:szCs w:val="24"/>
          <w:highlight w:val="white"/>
          <w:rtl w:val="0"/>
        </w:rPr>
        <w:t xml:space="preserve">Несостоятельность корпорации. </w:t>
      </w:r>
    </w:p>
    <w:p w:rsidR="00000000" w:rsidDel="00000000" w:rsidP="00000000" w:rsidRDefault="00000000" w:rsidRPr="00000000" w14:paraId="00000030">
      <w:pPr>
        <w:numPr>
          <w:ilvl w:val="1"/>
          <w:numId w:val="1"/>
        </w:numPr>
        <w:spacing w:before="120" w:line="360" w:lineRule="auto"/>
        <w:ind w:left="1440" w:hanging="360"/>
        <w:jc w:val="both"/>
        <w:rPr>
          <w:color w:val="333333"/>
          <w:sz w:val="24"/>
          <w:szCs w:val="24"/>
          <w:highlight w:val="white"/>
        </w:rPr>
      </w:pPr>
      <w:r w:rsidDel="00000000" w:rsidR="00000000" w:rsidRPr="00000000">
        <w:rPr>
          <w:color w:val="333333"/>
          <w:sz w:val="24"/>
          <w:szCs w:val="24"/>
          <w:highlight w:val="white"/>
          <w:rtl w:val="0"/>
        </w:rPr>
        <w:t xml:space="preserve">В случае злостного невыполнения корпорацией своих гражданских обязанностей, несоответствия деятельности уставным документам, нарушения Конституции Вавилона корпорация лишается регистрации на Вавилоне, а ее доля выставляется на торги Оракулом или распределяется другим способом по усмотрению Оракула.</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b w:val="1"/>
          <w:color w:val="333333"/>
          <w:sz w:val="24"/>
          <w:szCs w:val="24"/>
          <w:highlight w:val="white"/>
          <w:u w:val="single"/>
          <w:rtl w:val="0"/>
        </w:rPr>
        <w:t xml:space="preserve">Т</w:t>
      </w:r>
      <w:r w:rsidDel="00000000" w:rsidR="00000000" w:rsidRPr="00000000">
        <w:rPr>
          <w:b w:val="1"/>
          <w:color w:val="333333"/>
          <w:sz w:val="24"/>
          <w:szCs w:val="24"/>
          <w:highlight w:val="white"/>
          <w:u w:val="single"/>
          <w:rtl w:val="0"/>
        </w:rPr>
        <w:t xml:space="preserve">рудовое законодательство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contextualSpacing w:val="0"/>
        <w:jc w:val="both"/>
        <w:rPr>
          <w:color w:val="333333"/>
          <w:sz w:val="24"/>
          <w:szCs w:val="24"/>
          <w:highlight w:val="white"/>
        </w:rPr>
      </w:pPr>
      <w:r w:rsidDel="00000000" w:rsidR="00000000" w:rsidRPr="00000000">
        <w:rPr>
          <w:color w:val="333333"/>
          <w:sz w:val="24"/>
          <w:szCs w:val="24"/>
          <w:highlight w:val="white"/>
          <w:rtl w:val="0"/>
        </w:rPr>
        <w:t xml:space="preserve">Целями трудового законодательства являются установление государственно-корпоративных гарантий трудовых прав и свобод граждан, объединений и корпораций, создание благоприятных условий труда и исследовательской деятельности, защита прав и интересов работников и работодателей, обеспечение возможности интеллектуального развития индивидуума и научного прогресса разумных видов Земли в целом.</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contextualSpacing w:val="0"/>
        <w:jc w:val="both"/>
        <w:rPr>
          <w:color w:val="333333"/>
          <w:sz w:val="24"/>
          <w:szCs w:val="24"/>
          <w:highlight w:val="white"/>
        </w:rPr>
      </w:pPr>
      <w:r w:rsidDel="00000000" w:rsidR="00000000" w:rsidRPr="00000000">
        <w:rPr>
          <w:color w:val="333333"/>
          <w:sz w:val="24"/>
          <w:szCs w:val="24"/>
          <w:highlight w:val="white"/>
          <w:rtl w:val="0"/>
        </w:rPr>
        <w:t xml:space="preserve">Исходя из общепризнанных принципов и норм международного права и в соответствии с Конституцией Корпоративной Республики Вавилон основными принципами правового регулирования трудовых отношений и иных непосредственно связанных с ними отношений признаются:</w:t>
      </w:r>
    </w:p>
    <w:p w:rsidR="00000000" w:rsidDel="00000000" w:rsidP="00000000" w:rsidRDefault="00000000" w:rsidRPr="00000000" w14:paraId="0000003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000000" w:rsidDel="00000000" w:rsidP="00000000" w:rsidRDefault="00000000" w:rsidRPr="00000000" w14:paraId="0000003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запрещение принудительного труда граждан и дискриминации в сфере труда граждан;</w:t>
      </w:r>
    </w:p>
    <w:p w:rsidR="00000000" w:rsidDel="00000000" w:rsidP="00000000" w:rsidRDefault="00000000" w:rsidRPr="00000000" w14:paraId="0000003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w:t>
      </w:r>
    </w:p>
    <w:p w:rsidR="00000000" w:rsidDel="00000000" w:rsidP="00000000" w:rsidRDefault="00000000" w:rsidRPr="00000000" w14:paraId="0000003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обеспечение права на трудовой и научный рост, интеллектуальное развитие;</w:t>
      </w:r>
    </w:p>
    <w:p w:rsidR="00000000" w:rsidDel="00000000" w:rsidP="00000000" w:rsidRDefault="00000000" w:rsidRPr="00000000" w14:paraId="0000003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равенство прав и возможностей работников, вне зависимости от гендерных, расовых, видовых признаков, в рамках в которых данное равенство не нарушает права на </w:t>
      </w:r>
      <w:r w:rsidDel="00000000" w:rsidR="00000000" w:rsidRPr="00000000">
        <w:rPr>
          <w:color w:val="333333"/>
          <w:sz w:val="24"/>
          <w:szCs w:val="24"/>
          <w:highlight w:val="white"/>
          <w:rtl w:val="0"/>
        </w:rPr>
        <w:t xml:space="preserve">интеллектуальное развития индивидуума и научного прогресса разумных видов Земли в целом</w:t>
      </w:r>
      <w:r w:rsidDel="00000000" w:rsidR="00000000" w:rsidRPr="00000000">
        <w:rPr>
          <w:color w:val="505250"/>
          <w:sz w:val="24"/>
          <w:szCs w:val="24"/>
          <w:highlight w:val="white"/>
          <w:rtl w:val="0"/>
        </w:rPr>
        <w:t xml:space="preserve">; </w:t>
      </w:r>
    </w:p>
    <w:p w:rsidR="00000000" w:rsidDel="00000000" w:rsidP="00000000" w:rsidRDefault="00000000" w:rsidRPr="00000000" w14:paraId="0000003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обеспечение права каждого работника на своевременную и в полном размере выплату оговоренной заработной платы; </w:t>
      </w:r>
    </w:p>
    <w:p w:rsidR="00000000" w:rsidDel="00000000" w:rsidP="00000000" w:rsidRDefault="00000000" w:rsidRPr="00000000" w14:paraId="0000003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обеспечение права каждого на защиту государством его трудовых прав и свобод, включая защиту права на интеллектуальное и научное развитие; </w:t>
      </w:r>
    </w:p>
    <w:p w:rsidR="00000000" w:rsidDel="00000000" w:rsidP="00000000" w:rsidRDefault="00000000" w:rsidRPr="00000000" w14:paraId="000000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vertAlign w:val="baseline"/>
        </w:rPr>
      </w:pPr>
      <w:r w:rsidDel="00000000" w:rsidR="00000000" w:rsidRPr="00000000">
        <w:rPr>
          <w:color w:val="505250"/>
          <w:sz w:val="24"/>
          <w:szCs w:val="24"/>
          <w:highlight w:val="white"/>
          <w:rtl w:val="0"/>
        </w:rPr>
        <w:t xml:space="preserve">обеспечение права на разрешение трудовых споров; </w:t>
      </w:r>
    </w:p>
    <w:p w:rsidR="00000000" w:rsidDel="00000000" w:rsidP="00000000" w:rsidRDefault="00000000" w:rsidRPr="00000000" w14:paraId="000000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contextualSpacing w:val="0"/>
        <w:jc w:val="both"/>
        <w:rPr>
          <w:b w:val="1"/>
          <w:color w:val="505250"/>
          <w:sz w:val="24"/>
          <w:szCs w:val="24"/>
          <w:highlight w:val="white"/>
        </w:rPr>
      </w:pPr>
      <w:r w:rsidDel="00000000" w:rsidR="00000000" w:rsidRPr="00000000">
        <w:rPr>
          <w:b w:val="1"/>
          <w:color w:val="505250"/>
          <w:sz w:val="24"/>
          <w:szCs w:val="24"/>
          <w:highlight w:val="white"/>
          <w:rtl w:val="0"/>
        </w:rPr>
        <w:t xml:space="preserve">Сделки</w:t>
      </w:r>
    </w:p>
    <w:p w:rsidR="00000000" w:rsidDel="00000000" w:rsidP="00000000" w:rsidRDefault="00000000" w:rsidRPr="00000000" w14:paraId="0000003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color w:val="505250"/>
          <w:sz w:val="24"/>
          <w:szCs w:val="24"/>
          <w:highlight w:val="white"/>
        </w:rPr>
      </w:pPr>
      <w:r w:rsidDel="00000000" w:rsidR="00000000" w:rsidRPr="00000000">
        <w:rPr>
          <w:color w:val="333333"/>
          <w:sz w:val="24"/>
          <w:szCs w:val="24"/>
          <w:highlight w:val="white"/>
          <w:rtl w:val="0"/>
        </w:rPr>
        <w:t xml:space="preserve">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000000" w:rsidDel="00000000" w:rsidP="00000000" w:rsidRDefault="00000000" w:rsidRPr="00000000" w14:paraId="0000003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color w:val="333333"/>
          <w:sz w:val="24"/>
          <w:szCs w:val="24"/>
          <w:highlight w:val="white"/>
        </w:rPr>
      </w:pPr>
      <w:r w:rsidDel="00000000" w:rsidR="00000000" w:rsidRPr="00000000">
        <w:rPr>
          <w:color w:val="333333"/>
          <w:sz w:val="24"/>
          <w:szCs w:val="24"/>
          <w:highlight w:val="white"/>
          <w:rtl w:val="0"/>
        </w:rPr>
        <w:t xml:space="preserve">Сделки следует оформлять в письменном виде (соглашение, договор, контракт, меморандум и иные правовые документы). </w:t>
      </w:r>
    </w:p>
    <w:p w:rsidR="00000000" w:rsidDel="00000000" w:rsidP="00000000" w:rsidRDefault="00000000" w:rsidRPr="00000000" w14:paraId="0000003F">
      <w:pPr>
        <w:numPr>
          <w:ilvl w:val="1"/>
          <w:numId w:val="1"/>
        </w:numPr>
        <w:spacing w:before="120" w:line="360" w:lineRule="auto"/>
        <w:ind w:left="1440" w:hanging="360"/>
        <w:jc w:val="both"/>
        <w:rPr>
          <w:color w:val="333333"/>
          <w:sz w:val="24"/>
          <w:szCs w:val="24"/>
          <w:highlight w:val="white"/>
        </w:rPr>
      </w:pPr>
      <w:r w:rsidDel="00000000" w:rsidR="00000000" w:rsidRPr="00000000">
        <w:rPr>
          <w:color w:val="333333"/>
          <w:sz w:val="24"/>
          <w:szCs w:val="24"/>
          <w:highlight w:val="white"/>
          <w:rtl w:val="0"/>
        </w:rPr>
        <w:t xml:space="preserve">В случае, если сделкой подразумевается передача прав, требующая регистрации, то правовые последствия сделки наступают после ее регистрации.</w:t>
      </w:r>
    </w:p>
    <w:p w:rsidR="00000000" w:rsidDel="00000000" w:rsidP="00000000" w:rsidRDefault="00000000" w:rsidRPr="00000000" w14:paraId="00000040">
      <w:pPr>
        <w:numPr>
          <w:ilvl w:val="1"/>
          <w:numId w:val="1"/>
        </w:numPr>
        <w:spacing w:before="120" w:line="360" w:lineRule="auto"/>
        <w:ind w:left="1440" w:hanging="360"/>
        <w:jc w:val="both"/>
        <w:rPr>
          <w:color w:val="333333"/>
          <w:sz w:val="24"/>
          <w:szCs w:val="24"/>
          <w:highlight w:val="white"/>
        </w:rPr>
      </w:pPr>
      <w:r w:rsidDel="00000000" w:rsidR="00000000" w:rsidRPr="00000000">
        <w:rPr>
          <w:color w:val="333333"/>
          <w:sz w:val="24"/>
          <w:szCs w:val="24"/>
          <w:highlight w:val="white"/>
          <w:rtl w:val="0"/>
        </w:rPr>
        <w:t xml:space="preserve">Сделка, предусматривающая изменение условий зарегистрированной сделки, подлежит регистрации у Оракула.</w:t>
      </w:r>
    </w:p>
    <w:p w:rsidR="00000000" w:rsidDel="00000000" w:rsidP="00000000" w:rsidRDefault="00000000" w:rsidRPr="00000000" w14:paraId="000000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color w:val="333333"/>
          <w:sz w:val="24"/>
          <w:szCs w:val="24"/>
          <w:highlight w:val="white"/>
        </w:rPr>
      </w:pPr>
      <w:r w:rsidDel="00000000" w:rsidR="00000000" w:rsidRPr="00000000">
        <w:rPr>
          <w:color w:val="333333"/>
          <w:sz w:val="24"/>
          <w:szCs w:val="24"/>
          <w:highlight w:val="white"/>
          <w:rtl w:val="0"/>
        </w:rPr>
        <w:t xml:space="preserve">Сделка может быть признана недействительной после рассмотрения Оракулом, если на нарушает Конституцию Вавилона или иные закона, в рамках сделки были каким либо образом нарушены или изменены права гражданина Вавилона, не являющегося участником сделки (третьего лица), если условия сделки (договора) были нарушены одной из сторон, если несет угрозу безопасности Вавилона, ограничивает развитие научной или философской мысли, развитие человечества, экспансию в космос.</w:t>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contextualSpacing w:val="0"/>
        <w:jc w:val="both"/>
        <w:rPr>
          <w:b w:val="1"/>
          <w:i w:val="0"/>
          <w:smallCaps w:val="0"/>
          <w:strike w:val="0"/>
          <w:color w:val="333333"/>
          <w:sz w:val="24"/>
          <w:szCs w:val="24"/>
          <w:highlight w:val="white"/>
          <w:vertAlign w:val="baseline"/>
        </w:rPr>
      </w:pPr>
      <w:r w:rsidDel="00000000" w:rsidR="00000000" w:rsidRPr="00000000">
        <w:rPr>
          <w:b w:val="1"/>
          <w:color w:val="333333"/>
          <w:sz w:val="24"/>
          <w:szCs w:val="24"/>
          <w:highlight w:val="white"/>
          <w:rtl w:val="0"/>
        </w:rPr>
        <w:t xml:space="preserve">Доверенность и представительство</w:t>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u w:val="none"/>
          <w:vertAlign w:val="baseline"/>
        </w:rPr>
      </w:pPr>
      <w:r w:rsidDel="00000000" w:rsidR="00000000" w:rsidRPr="00000000">
        <w:rPr>
          <w:color w:val="333333"/>
          <w:sz w:val="24"/>
          <w:szCs w:val="24"/>
          <w:highlight w:val="white"/>
          <w:rtl w:val="0"/>
        </w:rPr>
        <w:t xml:space="preserve">Частное или юридическое лицо могут передать исполнение всех или части своих гражданских прав и/или обязанностей третьему лицу (физическому и/или юридическому) по своему усмотрению. Таковую передачу исполнения прав и/или обязанностей следует должным образом оформить в рамках доверенности, заверенной адвокатом.</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u w:val="none"/>
          <w:vertAlign w:val="baseline"/>
        </w:rPr>
      </w:pPr>
      <w:r w:rsidDel="00000000" w:rsidR="00000000" w:rsidRPr="00000000">
        <w:rPr>
          <w:color w:val="333333"/>
          <w:sz w:val="24"/>
          <w:szCs w:val="24"/>
          <w:highlight w:val="white"/>
          <w:rtl w:val="0"/>
        </w:rPr>
        <w:t xml:space="preserve">Представлять интересы физического и/или юридического лица перед оракулом могут только адвокаты, обладающие лицензией на адвокатскую деятельность в границах республики Вавилон. </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1440" w:right="0" w:hanging="360"/>
        <w:contextualSpacing w:val="0"/>
        <w:jc w:val="both"/>
        <w:rPr>
          <w:rFonts w:ascii="Arial" w:cs="Arial" w:eastAsia="Arial" w:hAnsi="Arial"/>
          <w:b w:val="0"/>
          <w:i w:val="0"/>
          <w:smallCaps w:val="0"/>
          <w:strike w:val="0"/>
          <w:color w:val="333333"/>
          <w:sz w:val="24"/>
          <w:szCs w:val="24"/>
          <w:highlight w:val="white"/>
          <w:u w:val="none"/>
          <w:vertAlign w:val="baseline"/>
        </w:rPr>
      </w:pPr>
      <w:r w:rsidDel="00000000" w:rsidR="00000000" w:rsidRPr="00000000">
        <w:rPr>
          <w:color w:val="333333"/>
          <w:sz w:val="24"/>
          <w:szCs w:val="24"/>
          <w:highlight w:val="white"/>
          <w:rtl w:val="0"/>
        </w:rPr>
        <w:t xml:space="preserve">Представлять интересы корпорации перед Оракулом могут также члены правления корпорации, зарегистрированные в качестве таковых в уставных документах корпорации.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